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NONDISCLOSURE AGREEMENT</w:t>
      </w:r>
    </w:p>
    <w:p w:rsidR="00000000" w:rsidDel="00000000" w:rsidP="00000000" w:rsidRDefault="00000000" w:rsidRPr="00000000" w14:paraId="00000002">
      <w:pPr>
        <w:keepNext w:val="1"/>
        <w:widowControl w:val="0"/>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Nondisclosure Agreement (the "Agreement") is made and entered into as of _________ ___, 20__, by and between </w:t>
      </w:r>
      <w:r w:rsidDel="00000000" w:rsidR="00000000" w:rsidRPr="00000000">
        <w:rPr>
          <w:rFonts w:ascii="Times New Roman" w:cs="Times New Roman" w:eastAsia="Times New Roman" w:hAnsi="Times New Roman"/>
          <w:sz w:val="24"/>
          <w:szCs w:val="24"/>
          <w:highlight w:val="yellow"/>
          <w:rtl w:val="0"/>
        </w:rPr>
        <w:t xml:space="preserve">XXX Foundation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and ____________________ ("Recipient").</w:t>
      </w:r>
    </w:p>
    <w:p w:rsidR="00000000" w:rsidDel="00000000" w:rsidP="00000000" w:rsidRDefault="00000000" w:rsidRPr="00000000" w14:paraId="00000003">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RECITALS</w:t>
      </w:r>
    </w:p>
    <w:p w:rsidR="00000000" w:rsidDel="00000000" w:rsidP="00000000" w:rsidRDefault="00000000" w:rsidRPr="00000000" w14:paraId="00000004">
      <w:pPr>
        <w:numPr>
          <w:ilvl w:val="0"/>
          <w:numId w:val="2"/>
        </w:numPr>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and Recipient are considering a potential business transaction (which may include provision of debt financing or equity financing) with </w:t>
      </w:r>
      <w:r w:rsidDel="00000000" w:rsidR="00000000" w:rsidRPr="00000000">
        <w:rPr>
          <w:rFonts w:ascii="Times New Roman" w:cs="Times New Roman" w:eastAsia="Times New Roman" w:hAnsi="Times New Roman"/>
          <w:sz w:val="24"/>
          <w:szCs w:val="24"/>
          <w:highlight w:val="yellow"/>
          <w:rtl w:val="0"/>
        </w:rPr>
        <w:t xml:space="preserve">Organization Name ("Initials")</w:t>
      </w:r>
      <w:r w:rsidDel="00000000" w:rsidR="00000000" w:rsidRPr="00000000">
        <w:rPr>
          <w:rFonts w:ascii="Times New Roman" w:cs="Times New Roman" w:eastAsia="Times New Roman" w:hAnsi="Times New Roman"/>
          <w:sz w:val="24"/>
          <w:szCs w:val="24"/>
          <w:rtl w:val="0"/>
        </w:rPr>
        <w:t xml:space="preserve"> (the "Potential Transaction");</w:t>
      </w:r>
    </w:p>
    <w:p w:rsidR="00000000" w:rsidDel="00000000" w:rsidP="00000000" w:rsidRDefault="00000000" w:rsidRPr="00000000" w14:paraId="00000005">
      <w:pPr>
        <w:numPr>
          <w:ilvl w:val="0"/>
          <w:numId w:val="2"/>
        </w:numPr>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 desires, for the purpose of furthering negotiations aimed at consummating the Potential Transaction, to review certain information regarding the credit facility extended to </w:t>
      </w:r>
      <w:r w:rsidDel="00000000" w:rsidR="00000000" w:rsidRPr="00000000">
        <w:rPr>
          <w:rFonts w:ascii="Times New Roman" w:cs="Times New Roman" w:eastAsia="Times New Roman" w:hAnsi="Times New Roman"/>
          <w:sz w:val="24"/>
          <w:szCs w:val="24"/>
          <w:highlight w:val="yellow"/>
          <w:rtl w:val="0"/>
        </w:rPr>
        <w:t xml:space="preserve">Organization</w:t>
      </w:r>
      <w:r w:rsidDel="00000000" w:rsidR="00000000" w:rsidRPr="00000000">
        <w:rPr>
          <w:rFonts w:ascii="Times New Roman" w:cs="Times New Roman" w:eastAsia="Times New Roman" w:hAnsi="Times New Roman"/>
          <w:sz w:val="24"/>
          <w:szCs w:val="24"/>
          <w:rtl w:val="0"/>
        </w:rPr>
        <w:t xml:space="preserve">, including, without limitation, </w:t>
      </w:r>
      <w:r w:rsidDel="00000000" w:rsidR="00000000" w:rsidRPr="00000000">
        <w:rPr>
          <w:rFonts w:ascii="Times New Roman" w:cs="Times New Roman" w:eastAsia="Times New Roman" w:hAnsi="Times New Roman"/>
          <w:sz w:val="24"/>
          <w:szCs w:val="24"/>
          <w:highlight w:val="yellow"/>
          <w:rtl w:val="0"/>
        </w:rPr>
        <w:t xml:space="preserve">Organization'</w:t>
      </w:r>
      <w:r w:rsidDel="00000000" w:rsidR="00000000" w:rsidRPr="00000000">
        <w:rPr>
          <w:rFonts w:ascii="Times New Roman" w:cs="Times New Roman" w:eastAsia="Times New Roman" w:hAnsi="Times New Roman"/>
          <w:sz w:val="24"/>
          <w:szCs w:val="24"/>
          <w:rtl w:val="0"/>
        </w:rPr>
        <w:t xml:space="preserve">s financial records and the loan documents related to the extension of the credit facility; and</w:t>
      </w:r>
    </w:p>
    <w:p w:rsidR="00000000" w:rsidDel="00000000" w:rsidP="00000000" w:rsidRDefault="00000000" w:rsidRPr="00000000" w14:paraId="00000006">
      <w:pPr>
        <w:numPr>
          <w:ilvl w:val="0"/>
          <w:numId w:val="2"/>
        </w:numPr>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party desires to preserve the confidentiality of the information provided to Recipient under this Agreement.</w:t>
      </w:r>
    </w:p>
    <w:p w:rsidR="00000000" w:rsidDel="00000000" w:rsidP="00000000" w:rsidRDefault="00000000" w:rsidRPr="00000000" w14:paraId="00000007">
      <w:pPr>
        <w:widowControl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AGREEMENT</w:t>
      </w:r>
    </w:p>
    <w:p w:rsidR="00000000" w:rsidDel="00000000" w:rsidP="00000000" w:rsidRDefault="00000000" w:rsidRPr="00000000" w14:paraId="00000008">
      <w:pPr>
        <w:widowControl w:val="0"/>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parties agree as follows:</w:t>
      </w:r>
    </w:p>
    <w:p w:rsidR="00000000" w:rsidDel="00000000" w:rsidP="00000000" w:rsidRDefault="00000000" w:rsidRPr="00000000" w14:paraId="00000009">
      <w:pPr>
        <w:numPr>
          <w:ilvl w:val="1"/>
          <w:numId w:val="2"/>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Confidential Information</w:t>
      </w:r>
      <w:r w:rsidDel="00000000" w:rsidR="00000000" w:rsidRPr="00000000">
        <w:rPr>
          <w:rFonts w:ascii="Times New Roman" w:cs="Times New Roman" w:eastAsia="Times New Roman" w:hAnsi="Times New Roman"/>
          <w:sz w:val="24"/>
          <w:szCs w:val="24"/>
          <w:rtl w:val="0"/>
        </w:rPr>
        <w:t xml:space="preserve">.  All information obtained by Recipient from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whether received before or after the date of the Agreement, that relates to </w:t>
      </w:r>
      <w:r w:rsidDel="00000000" w:rsidR="00000000" w:rsidRPr="00000000">
        <w:rPr>
          <w:rFonts w:ascii="Times New Roman" w:cs="Times New Roman" w:eastAsia="Times New Roman" w:hAnsi="Times New Roman"/>
          <w:sz w:val="24"/>
          <w:szCs w:val="24"/>
          <w:highlight w:val="yellow"/>
          <w:rtl w:val="0"/>
        </w:rPr>
        <w:t xml:space="preserve">Organization</w:t>
      </w:r>
      <w:r w:rsidDel="00000000" w:rsidR="00000000" w:rsidRPr="00000000">
        <w:rPr>
          <w:rFonts w:ascii="Times New Roman" w:cs="Times New Roman" w:eastAsia="Times New Roman" w:hAnsi="Times New Roman"/>
          <w:sz w:val="24"/>
          <w:szCs w:val="24"/>
          <w:rtl w:val="0"/>
        </w:rPr>
        <w:t xml:space="preserve">, the credit facility, or the Potential Transaction, is referred to herein as "Confidential Information."  Confidential Information includes any reports, analyses, studies or other materials, whether prepared by Recipient or otherwise, that contain or are based upon proprietary or non-public information covered by this Agreement.  Confidential Information does not include:</w:t>
      </w:r>
    </w:p>
    <w:p w:rsidR="00000000" w:rsidDel="00000000" w:rsidP="00000000" w:rsidRDefault="00000000" w:rsidRPr="00000000" w14:paraId="0000000A">
      <w:pPr>
        <w:numPr>
          <w:ilvl w:val="2"/>
          <w:numId w:val="2"/>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when delivered to Recipient by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is accompanied by a written statement that such information is not considered confidential;  </w:t>
      </w:r>
    </w:p>
    <w:p w:rsidR="00000000" w:rsidDel="00000000" w:rsidP="00000000" w:rsidRDefault="00000000" w:rsidRPr="00000000" w14:paraId="0000000B">
      <w:pPr>
        <w:numPr>
          <w:ilvl w:val="2"/>
          <w:numId w:val="2"/>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was known to Recipient prior to the date hereof and not obtained or derived from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2"/>
          <w:numId w:val="2"/>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at the time of disclosure is already in the public domain;</w:t>
      </w:r>
    </w:p>
    <w:p w:rsidR="00000000" w:rsidDel="00000000" w:rsidP="00000000" w:rsidRDefault="00000000" w:rsidRPr="00000000" w14:paraId="0000000D">
      <w:pPr>
        <w:numPr>
          <w:ilvl w:val="2"/>
          <w:numId w:val="2"/>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after disclosure hereunder becomes part of the public domain by publication or otherwise through no act or fault of Recipient;</w:t>
      </w:r>
    </w:p>
    <w:p w:rsidR="00000000" w:rsidDel="00000000" w:rsidP="00000000" w:rsidRDefault="00000000" w:rsidRPr="00000000" w14:paraId="0000000E">
      <w:pPr>
        <w:numPr>
          <w:ilvl w:val="2"/>
          <w:numId w:val="2"/>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obtained from a third party in lawful possession of such information which is not, to Recipient's knowledge, under a confidentiality obligation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highlight w:val="yellow"/>
          <w:rtl w:val="0"/>
        </w:rPr>
        <w:t xml:space="preserve">Organization</w:t>
      </w:r>
      <w:r w:rsidDel="00000000" w:rsidR="00000000" w:rsidRPr="00000000">
        <w:rPr>
          <w:rFonts w:ascii="Times New Roman" w:cs="Times New Roman" w:eastAsia="Times New Roman" w:hAnsi="Times New Roman"/>
          <w:sz w:val="24"/>
          <w:szCs w:val="24"/>
          <w:rtl w:val="0"/>
        </w:rPr>
        <w:t xml:space="preserve">; or</w:t>
      </w:r>
    </w:p>
    <w:p w:rsidR="00000000" w:rsidDel="00000000" w:rsidP="00000000" w:rsidRDefault="00000000" w:rsidRPr="00000000" w14:paraId="0000000F">
      <w:pPr>
        <w:numPr>
          <w:ilvl w:val="2"/>
          <w:numId w:val="2"/>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that Recipient is required by law or fiduciary duty to give to its investors or to authorities that regulate Recipient.</w:t>
      </w:r>
    </w:p>
    <w:p w:rsidR="00000000" w:rsidDel="00000000" w:rsidP="00000000" w:rsidRDefault="00000000" w:rsidRPr="00000000" w14:paraId="00000010">
      <w:pPr>
        <w:numPr>
          <w:ilvl w:val="1"/>
          <w:numId w:val="2"/>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Confidentiality Obligation</w:t>
      </w:r>
      <w:r w:rsidDel="00000000" w:rsidR="00000000" w:rsidRPr="00000000">
        <w:rPr>
          <w:rFonts w:ascii="Times New Roman" w:cs="Times New Roman" w:eastAsia="Times New Roman" w:hAnsi="Times New Roman"/>
          <w:sz w:val="24"/>
          <w:szCs w:val="24"/>
          <w:rtl w:val="0"/>
        </w:rPr>
        <w:t xml:space="preserve">.  Recipient is subject to the following obligations:</w:t>
      </w:r>
    </w:p>
    <w:p w:rsidR="00000000" w:rsidDel="00000000" w:rsidP="00000000" w:rsidRDefault="00000000" w:rsidRPr="00000000" w14:paraId="00000011">
      <w:pPr>
        <w:numPr>
          <w:ilvl w:val="2"/>
          <w:numId w:val="1"/>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 will keep the Confidential Information secret, and not, without previous written consent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highlight w:val="yellow"/>
          <w:rtl w:val="0"/>
        </w:rPr>
        <w:t xml:space="preserve">Organization,</w:t>
      </w:r>
      <w:r w:rsidDel="00000000" w:rsidR="00000000" w:rsidRPr="00000000">
        <w:rPr>
          <w:rFonts w:ascii="Times New Roman" w:cs="Times New Roman" w:eastAsia="Times New Roman" w:hAnsi="Times New Roman"/>
          <w:sz w:val="24"/>
          <w:szCs w:val="24"/>
          <w:rtl w:val="0"/>
        </w:rPr>
        <w:t xml:space="preserve"> disclose Confidential Information to any third party (except as provided in paragraph (b) below).</w:t>
      </w:r>
    </w:p>
    <w:p w:rsidR="00000000" w:rsidDel="00000000" w:rsidP="00000000" w:rsidRDefault="00000000" w:rsidRPr="00000000" w14:paraId="00000012">
      <w:pPr>
        <w:numPr>
          <w:ilvl w:val="2"/>
          <w:numId w:val="1"/>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 will disclose or divulge the Confidential Information only to Recipient's officers, employees, lenders, and professional consultants ("Representatives") who have reason or need to know Confidential Information for the purpose of enabling Recipient to evaluate the Potential Transaction and who are required to comply with the restrictions imposed on Recipient by this Agreement.</w:t>
      </w:r>
    </w:p>
    <w:p w:rsidR="00000000" w:rsidDel="00000000" w:rsidP="00000000" w:rsidRDefault="00000000" w:rsidRPr="00000000" w14:paraId="00000013">
      <w:pPr>
        <w:numPr>
          <w:ilvl w:val="2"/>
          <w:numId w:val="1"/>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 will not use the Confidential Information for any purpose other than to evaluate the Potential Transaction, negotiate the terms thereof, and complete any agreed upon transaction.</w:t>
      </w:r>
    </w:p>
    <w:p w:rsidR="00000000" w:rsidDel="00000000" w:rsidP="00000000" w:rsidRDefault="00000000" w:rsidRPr="00000000" w14:paraId="00000014">
      <w:pPr>
        <w:numPr>
          <w:ilvl w:val="2"/>
          <w:numId w:val="1"/>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Recipient will exercise the same degree of care with respect to the Confidential Information as Recipient uses in handling its own confidential information.</w:t>
      </w:r>
    </w:p>
    <w:p w:rsidR="00000000" w:rsidDel="00000000" w:rsidP="00000000" w:rsidRDefault="00000000" w:rsidRPr="00000000" w14:paraId="00000015">
      <w:pPr>
        <w:numPr>
          <w:ilvl w:val="2"/>
          <w:numId w:val="1"/>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request of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Recipient will account for and, at </w:t>
      </w:r>
      <w:r w:rsidDel="00000000" w:rsidR="00000000" w:rsidRPr="00000000">
        <w:rPr>
          <w:rFonts w:ascii="Times New Roman" w:cs="Times New Roman" w:eastAsia="Times New Roman" w:hAnsi="Times New Roman"/>
          <w:sz w:val="24"/>
          <w:szCs w:val="24"/>
          <w:highlight w:val="yellow"/>
          <w:rtl w:val="0"/>
        </w:rPr>
        <w:t xml:space="preserve">XXX’s</w:t>
      </w:r>
      <w:r w:rsidDel="00000000" w:rsidR="00000000" w:rsidRPr="00000000">
        <w:rPr>
          <w:rFonts w:ascii="Times New Roman" w:cs="Times New Roman" w:eastAsia="Times New Roman" w:hAnsi="Times New Roman"/>
          <w:sz w:val="24"/>
          <w:szCs w:val="24"/>
          <w:rtl w:val="0"/>
        </w:rPr>
        <w:t xml:space="preserve"> sole discretion, return or destroy all copies of Confidential Information received from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2"/>
          <w:numId w:val="1"/>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the Potential Transaction is not consummated, Recipient agrees that it will not, directly or indirectly, utilize any of the Confidential Information to compete with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highlight w:val="yellow"/>
          <w:rtl w:val="0"/>
        </w:rPr>
        <w:t xml:space="preserve">Organization</w:t>
      </w:r>
      <w:r w:rsidDel="00000000" w:rsidR="00000000" w:rsidRPr="00000000">
        <w:rPr>
          <w:rFonts w:ascii="Times New Roman" w:cs="Times New Roman" w:eastAsia="Times New Roman" w:hAnsi="Times New Roman"/>
          <w:sz w:val="24"/>
          <w:szCs w:val="24"/>
          <w:rtl w:val="0"/>
        </w:rPr>
        <w:t xml:space="preserve"> or in any other manner which is adverse to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sz w:val="24"/>
          <w:szCs w:val="24"/>
          <w:highlight w:val="yellow"/>
          <w:rtl w:val="0"/>
        </w:rPr>
        <w:t xml:space="preserve">Organization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2"/>
          <w:numId w:val="1"/>
        </w:numPr>
        <w:spacing w:after="24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Recipient is required by judicial or administrative process to disclose Confidential Information, Recipient will promptly notify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and allow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a reasonable time to oppose such process.  If disclosure is nonetheless required, Recipient will use reasonable efforts to limit the dissemination of Confidential Information that is disclosed.  </w:t>
      </w:r>
    </w:p>
    <w:p w:rsidR="00000000" w:rsidDel="00000000" w:rsidP="00000000" w:rsidRDefault="00000000" w:rsidRPr="00000000" w14:paraId="00000018">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Limitation on Obligations</w:t>
      </w:r>
      <w:r w:rsidDel="00000000" w:rsidR="00000000" w:rsidRPr="00000000">
        <w:rPr>
          <w:rFonts w:ascii="Times New Roman" w:cs="Times New Roman" w:eastAsia="Times New Roman" w:hAnsi="Times New Roman"/>
          <w:sz w:val="24"/>
          <w:szCs w:val="24"/>
          <w:rtl w:val="0"/>
        </w:rPr>
        <w:t xml:space="preserve">.  This Agreement does not impose on either party any obligation to negotiate or to enter into the Potential Transaction or any other business relationship, does not create an agency or partnership relationship between the parties, and does not require that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disclose specific Confidential Information to Recipient.</w:t>
      </w:r>
    </w:p>
    <w:p w:rsidR="00000000" w:rsidDel="00000000" w:rsidP="00000000" w:rsidRDefault="00000000" w:rsidRPr="00000000" w14:paraId="00000019">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Remedies</w:t>
      </w:r>
      <w:r w:rsidDel="00000000" w:rsidR="00000000" w:rsidRPr="00000000">
        <w:rPr>
          <w:rFonts w:ascii="Times New Roman" w:cs="Times New Roman" w:eastAsia="Times New Roman" w:hAnsi="Times New Roman"/>
          <w:sz w:val="24"/>
          <w:szCs w:val="24"/>
          <w:rtl w:val="0"/>
        </w:rPr>
        <w:t xml:space="preserve">.  Recipient acknowledges that remedies at law may be inadequate to protect against breach of this Agreement and that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will be entitled to specific performance and injunctive relief as a remedy for any such breach, in addition to all other remedies available at law or in equity.</w:t>
      </w:r>
    </w:p>
    <w:p w:rsidR="00000000" w:rsidDel="00000000" w:rsidP="00000000" w:rsidRDefault="00000000" w:rsidRPr="00000000" w14:paraId="0000001A">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Applicable Law</w:t>
      </w:r>
      <w:r w:rsidDel="00000000" w:rsidR="00000000" w:rsidRPr="00000000">
        <w:rPr>
          <w:rFonts w:ascii="Times New Roman" w:cs="Times New Roman" w:eastAsia="Times New Roman" w:hAnsi="Times New Roman"/>
          <w:sz w:val="24"/>
          <w:szCs w:val="24"/>
          <w:rtl w:val="0"/>
        </w:rPr>
        <w:t xml:space="preserve">.  This Agreement will be construed and interpreted in accordance with the laws of the State of Oregon without regard to its principles of conflicts of law.</w:t>
      </w:r>
    </w:p>
    <w:p w:rsidR="00000000" w:rsidDel="00000000" w:rsidP="00000000" w:rsidRDefault="00000000" w:rsidRPr="00000000" w14:paraId="0000001B">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Effective Date and Termination</w:t>
      </w:r>
      <w:r w:rsidDel="00000000" w:rsidR="00000000" w:rsidRPr="00000000">
        <w:rPr>
          <w:rFonts w:ascii="Times New Roman" w:cs="Times New Roman" w:eastAsia="Times New Roman" w:hAnsi="Times New Roman"/>
          <w:sz w:val="24"/>
          <w:szCs w:val="24"/>
          <w:rtl w:val="0"/>
        </w:rPr>
        <w:t xml:space="preserve">.  This Agreement is effective and binding from the date first written above and will remain effective as long as Recipient possesses Confidential Information.</w:t>
      </w:r>
    </w:p>
    <w:p w:rsidR="00000000" w:rsidDel="00000000" w:rsidP="00000000" w:rsidRDefault="00000000" w:rsidRPr="00000000" w14:paraId="0000001C">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 Limitation on Other Transactions</w:t>
      </w:r>
      <w:r w:rsidDel="00000000" w:rsidR="00000000" w:rsidRPr="00000000">
        <w:rPr>
          <w:rFonts w:ascii="Times New Roman" w:cs="Times New Roman" w:eastAsia="Times New Roman" w:hAnsi="Times New Roman"/>
          <w:sz w:val="24"/>
          <w:szCs w:val="24"/>
          <w:rtl w:val="0"/>
        </w:rPr>
        <w:t xml:space="preserve">.  Each party understands that the other party and/or its Representatives may review other possible alternative transactions, and nothing in this Agreement will limit the ability of either party to participate or invest, directly or indirectly, in such alternative transactions.</w:t>
      </w:r>
    </w:p>
    <w:p w:rsidR="00000000" w:rsidDel="00000000" w:rsidP="00000000" w:rsidRDefault="00000000" w:rsidRPr="00000000" w14:paraId="0000001D">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 Representations or Warranties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XXX</w:t>
      </w:r>
      <w:r w:rsidDel="00000000" w:rsidR="00000000" w:rsidRPr="00000000">
        <w:rPr>
          <w:rFonts w:ascii="Times New Roman" w:cs="Times New Roman" w:eastAsia="Times New Roman" w:hAnsi="Times New Roman"/>
          <w:sz w:val="24"/>
          <w:szCs w:val="24"/>
          <w:rtl w:val="0"/>
        </w:rPr>
        <w:t xml:space="preserve"> does not make any representation or warranty, either express or implied, with respect to the accuracy or completeness of the Confidential Information and will have no liability resulting from the use of the Confidential Information by Recipient or any of its Representatives, except as may be provided in any definitive agreement entered into by the parties in connection with the Potential Transaction or otherwise.</w:t>
      </w:r>
    </w:p>
    <w:p w:rsidR="00000000" w:rsidDel="00000000" w:rsidP="00000000" w:rsidRDefault="00000000" w:rsidRPr="00000000" w14:paraId="0000001E">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Attorneys' Fees</w:t>
      </w:r>
      <w:r w:rsidDel="00000000" w:rsidR="00000000" w:rsidRPr="00000000">
        <w:rPr>
          <w:rFonts w:ascii="Times New Roman" w:cs="Times New Roman" w:eastAsia="Times New Roman" w:hAnsi="Times New Roman"/>
          <w:sz w:val="24"/>
          <w:szCs w:val="24"/>
          <w:rtl w:val="0"/>
        </w:rPr>
        <w:t xml:space="preserve">.  In any litigation related to this Agreement, the prevailing party will be entitled to recover all reasonable expenses of litigation, including reasonable attorney fees at trial and on any appeal.</w:t>
      </w:r>
    </w:p>
    <w:p w:rsidR="00000000" w:rsidDel="00000000" w:rsidP="00000000" w:rsidRDefault="00000000" w:rsidRPr="00000000" w14:paraId="0000001F">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Counterparts</w:t>
      </w:r>
      <w:r w:rsidDel="00000000" w:rsidR="00000000" w:rsidRPr="00000000">
        <w:rPr>
          <w:rFonts w:ascii="Times New Roman" w:cs="Times New Roman" w:eastAsia="Times New Roman" w:hAnsi="Times New Roman"/>
          <w:sz w:val="24"/>
          <w:szCs w:val="24"/>
          <w:rtl w:val="0"/>
        </w:rPr>
        <w:t xml:space="preserve">.  This Agreement may be executed in counterparts.  Fax or electronic transmission of a signed original document will be equivalent to delivery of an original.</w:t>
      </w:r>
    </w:p>
    <w:p w:rsidR="00000000" w:rsidDel="00000000" w:rsidP="00000000" w:rsidRDefault="00000000" w:rsidRPr="00000000" w14:paraId="00000020">
      <w:pPr>
        <w:numPr>
          <w:ilvl w:val="1"/>
          <w:numId w:val="1"/>
        </w:numPr>
        <w:spacing w:after="24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Entire Agreement</w:t>
      </w:r>
      <w:r w:rsidDel="00000000" w:rsidR="00000000" w:rsidRPr="00000000">
        <w:rPr>
          <w:rFonts w:ascii="Times New Roman" w:cs="Times New Roman" w:eastAsia="Times New Roman" w:hAnsi="Times New Roman"/>
          <w:sz w:val="24"/>
          <w:szCs w:val="24"/>
          <w:rtl w:val="0"/>
        </w:rPr>
        <w:t xml:space="preserve">.  This Agreement contains the entire understanding of the parties regarding the subject matter of this Agreement and supersedes all prior and contemporaneous negotiations and agreements, whether written or oral, between the parties with respect to the subject matter of this Agreement, including any previous nondisclosure or confidentiality agreements between the parties.</w:t>
      </w:r>
    </w:p>
    <w:p w:rsidR="00000000" w:rsidDel="00000000" w:rsidP="00000000" w:rsidRDefault="00000000" w:rsidRPr="00000000" w14:paraId="00000021">
      <w:pPr>
        <w:widowControl w:val="0"/>
        <w:spacing w:after="24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WITNESS WHEREOF, the parties have made and executed this Nondisclosure Agreement as of the date first above written.</w:t>
      </w:r>
    </w:p>
    <w:tbl>
      <w:tblPr>
        <w:tblStyle w:val="Table1"/>
        <w:tblW w:w="9577.0" w:type="dxa"/>
        <w:jc w:val="left"/>
        <w:tblInd w:w="0.0" w:type="dxa"/>
        <w:tblLayout w:type="fixed"/>
        <w:tblLook w:val="0000"/>
      </w:tblPr>
      <w:tblGrid>
        <w:gridCol w:w="4788"/>
        <w:gridCol w:w="4789"/>
        <w:tblGridChange w:id="0">
          <w:tblGrid>
            <w:gridCol w:w="4788"/>
            <w:gridCol w:w="4789"/>
          </w:tblGrid>
        </w:tblGridChange>
      </w:tblGrid>
      <w:tr>
        <w:tc>
          <w:tcPr>
            <w:vAlign w:val="top"/>
          </w:tcPr>
          <w:p w:rsidR="00000000" w:rsidDel="00000000" w:rsidP="00000000" w:rsidRDefault="00000000" w:rsidRPr="00000000" w14:paraId="00000022">
            <w:pPr>
              <w:widowControl w:val="0"/>
              <w:spacing w:after="48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FOUNDATION</w:t>
            </w:r>
          </w:p>
          <w:p w:rsidR="00000000" w:rsidDel="00000000" w:rsidP="00000000" w:rsidRDefault="00000000" w:rsidRPr="00000000" w14:paraId="00000023">
            <w:pPr>
              <w:widowControl w:val="0"/>
              <w:tabs>
                <w:tab w:val="left" w:pos="810"/>
                <w:tab w:val="right" w:pos="441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br w:type="textWrapping"/>
              <w:t xml:space="preserve">Name:</w:t>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br w:type="textWrapping"/>
              <w:t xml:space="preserve">Its:</w:t>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tc>
        <w:tc>
          <w:tcPr>
            <w:vAlign w:val="top"/>
          </w:tcPr>
          <w:p w:rsidR="00000000" w:rsidDel="00000000" w:rsidP="00000000" w:rsidRDefault="00000000" w:rsidRPr="00000000" w14:paraId="00000024">
            <w:pPr>
              <w:widowControl w:val="0"/>
              <w:tabs>
                <w:tab w:val="right" w:pos="4572"/>
              </w:tabs>
              <w:spacing w:after="3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ab/>
            </w:r>
          </w:p>
          <w:p w:rsidR="00000000" w:rsidDel="00000000" w:rsidP="00000000" w:rsidRDefault="00000000" w:rsidRPr="00000000" w14:paraId="00000025">
            <w:pPr>
              <w:widowControl w:val="0"/>
              <w:tabs>
                <w:tab w:val="left" w:pos="792"/>
                <w:tab w:val="right" w:pos="4573"/>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br w:type="textWrapping"/>
              <w:t xml:space="preserve">Name:</w:t>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br w:type="textWrapping"/>
              <w:t xml:space="preserve">Its:</w:t>
              <w:tab/>
            </w:r>
            <w:r w:rsidDel="00000000" w:rsidR="00000000" w:rsidRPr="00000000">
              <w:rPr>
                <w:rFonts w:ascii="Times New Roman" w:cs="Times New Roman" w:eastAsia="Times New Roman" w:hAnsi="Times New Roman"/>
                <w:sz w:val="24"/>
                <w:szCs w:val="24"/>
                <w:u w:val="single"/>
                <w:rtl w:val="0"/>
              </w:rPr>
              <w:tab/>
            </w:r>
            <w:r w:rsidDel="00000000" w:rsidR="00000000" w:rsidRPr="00000000">
              <w:rPr>
                <w:rtl w:val="0"/>
              </w:rPr>
            </w:r>
          </w:p>
        </w:tc>
      </w:tr>
    </w:tbl>
    <w:p w:rsidR="00000000" w:rsidDel="00000000" w:rsidP="00000000" w:rsidRDefault="00000000" w:rsidRPr="00000000" w14:paraId="00000026">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0" w:firstLine="720"/>
      </w:pPr>
      <w:rPr>
        <w:b w:val="0"/>
        <w:i w:val="0"/>
        <w:smallCaps w:val="0"/>
        <w:strike w:val="0"/>
        <w:u w:val="none"/>
        <w:vertAlign w:val="baseline"/>
      </w:rPr>
    </w:lvl>
    <w:lvl w:ilvl="1">
      <w:start w:val="1"/>
      <w:numFmt w:val="decimal"/>
      <w:lvlText w:val="%2."/>
      <w:lvlJc w:val="left"/>
      <w:pPr>
        <w:ind w:left="1440" w:hanging="720"/>
      </w:pPr>
      <w:rPr>
        <w:b w:val="0"/>
        <w:i w:val="0"/>
        <w:smallCaps w:val="0"/>
        <w:strike w:val="0"/>
        <w:u w:val="none"/>
        <w:vertAlign w:val="baseline"/>
      </w:rPr>
    </w:lvl>
    <w:lvl w:ilvl="2">
      <w:start w:val="1"/>
      <w:numFmt w:val="lowerLetter"/>
      <w:lvlText w:val="(%3)"/>
      <w:lvlJc w:val="left"/>
      <w:pPr>
        <w:ind w:left="2160" w:hanging="720"/>
      </w:pPr>
      <w:rPr>
        <w:b w:val="0"/>
        <w:i w:val="0"/>
        <w:smallCaps w:val="0"/>
        <w:strike w:val="0"/>
        <w:u w:val="none"/>
        <w:vertAlign w:val="baseline"/>
      </w:rPr>
    </w:lvl>
    <w:lvl w:ilvl="3">
      <w:start w:val="1"/>
      <w:numFmt w:val="decimal"/>
      <w:lvlText w:val="(%4)"/>
      <w:lvlJc w:val="left"/>
      <w:pPr>
        <w:ind w:left="2880" w:hanging="720"/>
      </w:pPr>
      <w:rPr>
        <w:b w:val="0"/>
        <w:i w:val="0"/>
        <w:smallCaps w:val="0"/>
        <w:strike w:val="0"/>
        <w:u w:val="none"/>
        <w:vertAlign w:val="baseline"/>
      </w:rPr>
    </w:lvl>
    <w:lvl w:ilvl="4">
      <w:start w:val="1"/>
      <w:numFmt w:val="upperLetter"/>
      <w:lvlText w:val="(%5)"/>
      <w:lvlJc w:val="left"/>
      <w:pPr>
        <w:ind w:left="0" w:firstLine="3600"/>
      </w:pPr>
      <w:rPr>
        <w:b w:val="0"/>
        <w:i w:val="0"/>
        <w:smallCaps w:val="0"/>
        <w:strike w:val="0"/>
        <w:u w:val="none"/>
        <w:vertAlign w:val="baseline"/>
      </w:rPr>
    </w:lvl>
    <w:lvl w:ilvl="5">
      <w:start w:val="1"/>
      <w:numFmt w:val="decimal"/>
      <w:lvlText w:val="(%6)"/>
      <w:lvlJc w:val="left"/>
      <w:pPr>
        <w:ind w:left="0" w:firstLine="4320"/>
      </w:pPr>
      <w:rPr>
        <w:b w:val="0"/>
        <w:i w:val="0"/>
        <w:smallCaps w:val="0"/>
        <w:strike w:val="0"/>
        <w:u w:val="none"/>
        <w:vertAlign w:val="baseline"/>
      </w:rPr>
    </w:lvl>
    <w:lvl w:ilvl="6">
      <w:start w:val="1"/>
      <w:numFmt w:val="lowerRoman"/>
      <w:lvlText w:val="(%7)"/>
      <w:lvlJc w:val="left"/>
      <w:pPr>
        <w:ind w:left="0" w:firstLine="5040"/>
      </w:pPr>
      <w:rPr>
        <w:b w:val="0"/>
        <w:i w:val="0"/>
        <w:smallCaps w:val="0"/>
        <w:strike w:val="0"/>
        <w:u w:val="none"/>
        <w:vertAlign w:val="baseline"/>
      </w:rPr>
    </w:lvl>
    <w:lvl w:ilvl="7">
      <w:start w:val="1"/>
      <w:numFmt w:val="lowerLetter"/>
      <w:lvlText w:val="(%8)"/>
      <w:lvlJc w:val="left"/>
      <w:pPr>
        <w:ind w:left="0" w:firstLine="5760"/>
      </w:pPr>
      <w:rPr>
        <w:b w:val="0"/>
        <w:i w:val="0"/>
        <w:smallCaps w:val="0"/>
        <w:strike w:val="0"/>
        <w:u w:val="none"/>
        <w:vertAlign w:val="baseline"/>
      </w:rPr>
    </w:lvl>
    <w:lvl w:ilvl="8">
      <w:start w:val="1"/>
      <w:numFmt w:val="lowerLetter"/>
      <w:lvlText w:val="(%9)"/>
      <w:lvlJc w:val="left"/>
      <w:pPr>
        <w:ind w:left="0" w:firstLine="5760"/>
      </w:pPr>
      <w:rPr>
        <w:b w:val="0"/>
        <w:i w:val="0"/>
        <w:smallCaps w:val="0"/>
        <w:strike w:val="0"/>
        <w:u w:val="none"/>
        <w:vertAlign w:val="baseline"/>
      </w:rPr>
    </w:lvl>
  </w:abstractNum>
  <w:abstractNum w:abstractNumId="2">
    <w:lvl w:ilvl="0">
      <w:start w:val="1"/>
      <w:numFmt w:val="upperLetter"/>
      <w:lvlText w:val="%1."/>
      <w:lvlJc w:val="left"/>
      <w:pPr>
        <w:ind w:left="0" w:firstLine="720"/>
      </w:pPr>
      <w:rPr>
        <w:b w:val="0"/>
        <w:i w:val="0"/>
        <w:smallCaps w:val="0"/>
        <w:strike w:val="0"/>
        <w:u w:val="none"/>
        <w:vertAlign w:val="baseline"/>
      </w:rPr>
    </w:lvl>
    <w:lvl w:ilvl="1">
      <w:start w:val="1"/>
      <w:numFmt w:val="decimal"/>
      <w:lvlText w:val="%2."/>
      <w:lvlJc w:val="left"/>
      <w:pPr>
        <w:ind w:left="1440" w:hanging="720"/>
      </w:pPr>
      <w:rPr>
        <w:b w:val="0"/>
        <w:i w:val="0"/>
        <w:smallCaps w:val="0"/>
        <w:strike w:val="0"/>
        <w:u w:val="none"/>
        <w:vertAlign w:val="baseline"/>
      </w:rPr>
    </w:lvl>
    <w:lvl w:ilvl="2">
      <w:start w:val="1"/>
      <w:numFmt w:val="lowerLetter"/>
      <w:lvlText w:val="(%3)"/>
      <w:lvlJc w:val="left"/>
      <w:pPr>
        <w:ind w:left="2160" w:hanging="720"/>
      </w:pPr>
      <w:rPr>
        <w:b w:val="0"/>
        <w:i w:val="0"/>
        <w:smallCaps w:val="0"/>
        <w:strike w:val="0"/>
        <w:u w:val="none"/>
        <w:vertAlign w:val="baseline"/>
      </w:rPr>
    </w:lvl>
    <w:lvl w:ilvl="3">
      <w:start w:val="1"/>
      <w:numFmt w:val="decimal"/>
      <w:lvlText w:val="(%4)"/>
      <w:lvlJc w:val="left"/>
      <w:pPr>
        <w:ind w:left="2880" w:hanging="720"/>
      </w:pPr>
      <w:rPr>
        <w:b w:val="0"/>
        <w:i w:val="0"/>
        <w:smallCaps w:val="0"/>
        <w:strike w:val="0"/>
        <w:u w:val="none"/>
        <w:vertAlign w:val="baseline"/>
      </w:rPr>
    </w:lvl>
    <w:lvl w:ilvl="4">
      <w:start w:val="1"/>
      <w:numFmt w:val="upperLetter"/>
      <w:lvlText w:val="(%5)"/>
      <w:lvlJc w:val="left"/>
      <w:pPr>
        <w:ind w:left="0" w:firstLine="3600"/>
      </w:pPr>
      <w:rPr>
        <w:b w:val="0"/>
        <w:i w:val="0"/>
        <w:smallCaps w:val="0"/>
        <w:strike w:val="0"/>
        <w:u w:val="none"/>
        <w:vertAlign w:val="baseline"/>
      </w:rPr>
    </w:lvl>
    <w:lvl w:ilvl="5">
      <w:start w:val="1"/>
      <w:numFmt w:val="decimal"/>
      <w:lvlText w:val="(%6)"/>
      <w:lvlJc w:val="left"/>
      <w:pPr>
        <w:ind w:left="0" w:firstLine="4320"/>
      </w:pPr>
      <w:rPr>
        <w:b w:val="0"/>
        <w:i w:val="0"/>
        <w:smallCaps w:val="0"/>
        <w:strike w:val="0"/>
        <w:u w:val="none"/>
        <w:vertAlign w:val="baseline"/>
      </w:rPr>
    </w:lvl>
    <w:lvl w:ilvl="6">
      <w:start w:val="1"/>
      <w:numFmt w:val="lowerRoman"/>
      <w:lvlText w:val="(%7)"/>
      <w:lvlJc w:val="left"/>
      <w:pPr>
        <w:ind w:left="0" w:firstLine="5040"/>
      </w:pPr>
      <w:rPr>
        <w:b w:val="0"/>
        <w:i w:val="0"/>
        <w:smallCaps w:val="0"/>
        <w:strike w:val="0"/>
        <w:u w:val="none"/>
        <w:vertAlign w:val="baseline"/>
      </w:rPr>
    </w:lvl>
    <w:lvl w:ilvl="7">
      <w:start w:val="1"/>
      <w:numFmt w:val="lowerLetter"/>
      <w:lvlText w:val="(%8)"/>
      <w:lvlJc w:val="left"/>
      <w:pPr>
        <w:ind w:left="0" w:firstLine="5760"/>
      </w:pPr>
      <w:rPr>
        <w:b w:val="0"/>
        <w:i w:val="0"/>
        <w:smallCaps w:val="0"/>
        <w:strike w:val="0"/>
        <w:u w:val="none"/>
        <w:vertAlign w:val="baseline"/>
      </w:rPr>
    </w:lvl>
    <w:lvl w:ilvl="8">
      <w:start w:val="1"/>
      <w:numFmt w:val="lowerLetter"/>
      <w:lvlText w:val="(%9)"/>
      <w:lvlJc w:val="left"/>
      <w:pPr>
        <w:ind w:left="0" w:firstLine="5760"/>
      </w:pPr>
      <w:rPr>
        <w:b w:val="0"/>
        <w:i w:val="0"/>
        <w:smallCaps w:val="0"/>
        <w:strike w:val="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